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第一学期开放实验报名通知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为了有效挖掘和利用实验室资源，让同学们在课余时间有更多的机会进入实验室，培养自身的创新精神、开拓能力和实践能力，以适应社会发展的需求，学院开设了“数学建模与商务数据分析赛”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ascii="仿宋_GB2312" w:eastAsia="仿宋_GB2312" w:cs="宋体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ascii="仿宋_GB2312" w:eastAsia="仿宋_GB2312" w:cs="宋体"/>
          <w:kern w:val="0"/>
          <w:sz w:val="28"/>
          <w:szCs w:val="28"/>
        </w:rPr>
        <w:t>4</w:t>
      </w:r>
      <w:r>
        <w:rPr>
          <w:rFonts w:hint="eastAsia" w:ascii="仿宋_GB2312" w:eastAsia="仿宋_GB2312" w:cs="宋体"/>
          <w:kern w:val="0"/>
          <w:sz w:val="28"/>
          <w:szCs w:val="28"/>
        </w:rPr>
        <w:t>第一学期开放实验报名表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发送至邮箱bilus@mail.zjgsu.edu.cn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数学建模与商务数据分析赛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文科楼512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周,周日上午9:00-11:20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15858274541/634541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30人, 数模兴趣者优先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widowControl/>
        <w:snapToGrid w:val="0"/>
        <w:spacing w:line="520" w:lineRule="exact"/>
        <w:jc w:val="left"/>
        <w:rPr>
          <w:kern w:val="0"/>
        </w:rPr>
      </w:pPr>
    </w:p>
    <w:p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574a3edd-3853-4ea0-b389-ee1e5168bac3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2975E10"/>
    <w:rsid w:val="348A7025"/>
    <w:rsid w:val="5BEC7255"/>
    <w:rsid w:val="6AC90AB8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545</Words>
  <Characters>642</Characters>
  <Lines>6</Lines>
  <Paragraphs>1</Paragraphs>
  <TotalTime>4</TotalTime>
  <ScaleCrop>false</ScaleCrop>
  <LinksUpToDate>false</LinksUpToDate>
  <CharactersWithSpaces>799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dingy</cp:lastModifiedBy>
  <cp:lastPrinted>2010-03-02T07:38:00Z</cp:lastPrinted>
  <dcterms:modified xsi:type="dcterms:W3CDTF">2024-10-14T07:39:24Z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282273F308EE4EA7AE158DFA80A90F6E_13</vt:lpwstr>
  </property>
</Properties>
</file>